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28750" w:type="dxa"/>
        <w:tblInd w:w="-7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800"/>
        <w:gridCol w:w="1598"/>
        <w:gridCol w:w="2352"/>
        <w:gridCol w:w="1200"/>
        <w:gridCol w:w="960"/>
        <w:gridCol w:w="401"/>
        <w:gridCol w:w="567"/>
        <w:gridCol w:w="567"/>
        <w:gridCol w:w="3277"/>
        <w:gridCol w:w="1542"/>
        <w:gridCol w:w="1626"/>
        <w:gridCol w:w="7094"/>
        <w:gridCol w:w="2560"/>
        <w:gridCol w:w="3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5496" w:type="dxa"/>
            <w:gridSpan w:val="4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both"/>
              <w:rPr>
                <w:rFonts w:hint="eastAsia" w:ascii="Times New Roman" w:hAnsi="Times New Roman" w:eastAsia="黑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kern w:val="0"/>
                <w:sz w:val="32"/>
                <w:szCs w:val="32"/>
                <w:lang w:val="en-US" w:eastAsia="zh-CN"/>
              </w:rPr>
              <w:t>2</w:t>
            </w:r>
            <w:bookmarkStart w:id="0" w:name="_GoBack"/>
            <w:bookmarkEnd w:id="0"/>
          </w:p>
        </w:tc>
        <w:tc>
          <w:tcPr>
            <w:tcW w:w="1200" w:type="dxa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1" w:type="dxa"/>
            <w:gridSpan w:val="2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9" w:type="dxa"/>
            <w:gridSpan w:val="4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60" w:type="dxa"/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460" w:type="dxa"/>
            <w:tcBorders>
              <w:right w:val="nil"/>
            </w:tcBorders>
            <w:shd w:val="clear" w:color="auto" w:fill="auto"/>
            <w:noWrap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8750" w:type="dxa"/>
            <w:gridSpan w:val="15"/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firstLine="3960" w:firstLineChars="1100"/>
              <w:jc w:val="left"/>
              <w:rPr>
                <w:rFonts w:ascii="Times New Roman" w:hAnsi="Times New Roman" w:eastAsia="方正小标宋简体" w:cs="Times New Roman"/>
                <w:kern w:val="0"/>
                <w:sz w:val="48"/>
                <w:szCs w:val="48"/>
              </w:rPr>
            </w:pPr>
            <w:r>
              <w:rPr>
                <w:rFonts w:ascii="Times New Roman" w:hAnsi="Times New Roman" w:eastAsia="方正小标宋简体" w:cs="Times New Roman"/>
                <w:kern w:val="0"/>
                <w:sz w:val="36"/>
                <w:szCs w:val="36"/>
              </w:rPr>
              <w:t>武汉经开区2023年</w:t>
            </w:r>
            <w:r>
              <w:rPr>
                <w:rFonts w:hint="eastAsia" w:ascii="Times New Roman" w:hAnsi="Times New Roman" w:eastAsia="方正小标宋简体" w:cs="Times New Roman"/>
                <w:kern w:val="0"/>
                <w:sz w:val="36"/>
                <w:szCs w:val="36"/>
                <w:lang w:eastAsia="zh-CN"/>
              </w:rPr>
              <w:t>度</w:t>
            </w:r>
            <w:r>
              <w:rPr>
                <w:rFonts w:ascii="Times New Roman" w:hAnsi="Times New Roman" w:eastAsia="方正小标宋简体" w:cs="Times New Roman"/>
                <w:kern w:val="0"/>
                <w:sz w:val="36"/>
                <w:szCs w:val="36"/>
              </w:rPr>
              <w:t>高层次人才校园招聘岗位一览表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3114" w:type="dxa"/>
          <w:trHeight w:val="900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机关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招录数量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3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>研究生专业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招录对象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年龄要求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3114" w:type="dxa"/>
          <w:trHeight w:val="5207" w:hRule="atLeast"/>
        </w:trPr>
        <w:tc>
          <w:tcPr>
            <w:tcW w:w="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武汉经济技术开发区管委会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引资岗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WHJKXYZP01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1.负责制定与落实园区年度产业招商计划、建立与完善产业项目信息库；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2.负责园区项目洽谈、签约、跟踪服务等工作；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3.负责园区招商信息的挖掘、客商拜访、客商来访、考察接待；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4.负责园区对外经济合作，指导外商投资。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3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0202应用经济学、0802机械工程、0803光学工程、0805材料科学与工程、0808电气工程、0809电子科学与技术、0810信息与通信工程、0812计算机科学与技术、0813建筑学、0814土木工程、0823交通运输工程、0828农业工程、0833城乡规划学、0835软件工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0251金融、0851建筑学、0853城市规划、0854电子信息、0855机械、0856材料与化工、0861交通运输、1256工程管理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2024年全日制高校应届毕业研究生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硕士研究生年龄在28周岁及以下（199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日以后出生），博士研究生年龄在32周岁及以下（199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3114" w:type="dxa"/>
          <w:trHeight w:val="841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机关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2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招录数量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3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</w:rPr>
              <w:t>研究生专业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招录对象</w:t>
            </w:r>
          </w:p>
        </w:tc>
        <w:tc>
          <w:tcPr>
            <w:tcW w:w="1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年龄要求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3114" w:type="dxa"/>
          <w:trHeight w:val="3850" w:hRule="atLeast"/>
        </w:trPr>
        <w:tc>
          <w:tcPr>
            <w:tcW w:w="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武汉经济技术开发区管委会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企业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服务岗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WHJKXYZP02</w:t>
            </w:r>
          </w:p>
        </w:tc>
        <w:tc>
          <w:tcPr>
            <w:tcW w:w="2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1.负责企业经济运行相关工作，建立并及时更新园区企业档案信息库；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2.负责园区企业优惠政策的兑现工作；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3.协调解决企业生产经营中的诉求等工作；负责园区优化营商环境工作。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9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3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0202应用经济学、0802机械工程、0803光学工程、0805材料科学与工程、0808电气工程、0809电子科学与技术、0810信息与通信工程、0812计算机科学与技术、0813建筑学、0814土木工程、0823交通运输工程、0828农业工程、0833城乡规划学、0835软件工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0251金融、0851建筑学、0853城市规划、0854电子信息、0855机械、0856材料与化工、0861交通运输、1201管理科学与工程、1203农林经济管理、1256工程管理</w:t>
            </w:r>
          </w:p>
        </w:tc>
        <w:tc>
          <w:tcPr>
            <w:tcW w:w="1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2024年全日制高校应届毕业研究生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硕士研究生年龄在28周岁及以下（199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日以后出生），博士研究生年龄在32周岁及以下（199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3114" w:type="dxa"/>
          <w:trHeight w:val="3242" w:hRule="atLeast"/>
        </w:trPr>
        <w:tc>
          <w:tcPr>
            <w:tcW w:w="7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武汉经济技术开发区管委会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内部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管理岗</w:t>
            </w:r>
          </w:p>
        </w:tc>
        <w:tc>
          <w:tcPr>
            <w:tcW w:w="15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WHJKXYZP03</w:t>
            </w:r>
          </w:p>
        </w:tc>
        <w:tc>
          <w:tcPr>
            <w:tcW w:w="2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1.负责园区机关文电、会务、机要、档案、接待、联络等日常管理工作；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2.负责园区党建、组织人事、纪检监察、宣传、群团、文明创建、绩效考评等工作。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9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jc w:val="center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3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0202应用经济学、0301 法学、1201管理科学与工程、1202工商管理、1204公共管理；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0251金融、0252应用统计、0254国际商务、0256资产评估、0257审计、0351法律、1251工商管理、1252公共管理、1253会计、1256工程管理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2024年全日制高校应届毕业研究生</w:t>
            </w:r>
          </w:p>
        </w:tc>
        <w:tc>
          <w:tcPr>
            <w:tcW w:w="1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40" w:lineRule="exact"/>
              <w:textAlignment w:val="auto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硕士研究生年龄在28周岁及以下（199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日以后出生），博士研究生年龄在32周岁及以下（199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  <w:t>日以后出生）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NTQyOTkyOTBmNjFmMjAyOGE5MTZhN2RjMjExNjIifQ=="/>
  </w:docVars>
  <w:rsids>
    <w:rsidRoot w:val="0A9632E6"/>
    <w:rsid w:val="0A9632E6"/>
    <w:rsid w:val="14837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2023-10-19T03:31:00Z</dcterms:created>
  <dc:creator>望山石</dc:creator>
  <cp:lastModifiedBy>望山石</cp:lastModifiedBy>
  <dcterms:modified xsi:type="dcterms:W3CDTF">2023-10-19T09:47:16Z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2AF8937B08514BD4B08D088E93568451_11</vt:lpwstr>
  </property>
</Properties>
</file>