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绵阳市安州区2024年部分城区空编学校面向区内公开考调教师岗位职数和条件要求一览表</w:t>
      </w:r>
    </w:p>
    <w:tbl>
      <w:tblPr>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778"/>
        <w:gridCol w:w="1466"/>
        <w:gridCol w:w="1367"/>
        <w:gridCol w:w="2046"/>
        <w:gridCol w:w="16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184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招聘单位</w:t>
            </w: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招聘岗位</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岗位职数</w:t>
            </w:r>
          </w:p>
        </w:tc>
        <w:tc>
          <w:tcPr>
            <w:tcW w:w="211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主要资格条件</w:t>
            </w:r>
          </w:p>
        </w:tc>
        <w:tc>
          <w:tcPr>
            <w:tcW w:w="168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咨询电话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七一实验小学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（26人）</w:t>
            </w: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语文</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18</w:t>
            </w:r>
          </w:p>
        </w:tc>
        <w:tc>
          <w:tcPr>
            <w:tcW w:w="2115"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1.安州区现在编在岗的农村学校教师，且在我区基层学校服务满2年。基层服务年限根据编制关系确定，计算时间截至2024年8月31日。特岗教师入编后不受此条限制。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2.工作表现和工作业绩良好，近三年年度考核为合格及以上等次。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3.年龄男50周岁以下（1974年9月1日及以后出生）、女48周岁以下（1976年9月1日及以后出生）。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4.具有同层次及以上教师资格证，其中，体育艺术教师须持与考调岗位一致的学科教师资格证。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5.具有胜任考调岗位工作需要的身体健康条件。</w:t>
            </w:r>
          </w:p>
        </w:tc>
        <w:tc>
          <w:tcPr>
            <w:tcW w:w="1680"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张老师13219949500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数学</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7</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音乐</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沙汀实验小学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（9人）</w:t>
            </w: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语文</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4</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刘老师18981173323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数学</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英语</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美术</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永盛小学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（5人）</w:t>
            </w: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语文</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3</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于老师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13990138971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数学</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音乐</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沙汀实验中学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（16人）</w:t>
            </w: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语文</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张老师15882830419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数学</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英语</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4</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物理</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化学</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政治</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历史</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地理</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体育</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安州一中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（20人）</w:t>
            </w: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语文</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4</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restart"/>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李老师13881160743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数学</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4</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英语</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4</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物理</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化学</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政治</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历史</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地理</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2</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845" w:type="dxa"/>
            <w:vMerge w:val="continue"/>
            <w:shd w:val="clear"/>
            <w:tcMar>
              <w:top w:w="0" w:type="dxa"/>
              <w:left w:w="0" w:type="dxa"/>
              <w:bottom w:w="0" w:type="dxa"/>
              <w:right w:w="0" w:type="dxa"/>
            </w:tcMar>
            <w:vAlign w:val="center"/>
          </w:tcPr>
          <w:p>
            <w:pPr>
              <w:rPr>
                <w:rFonts w:hint="eastAsia" w:ascii="宋体"/>
                <w:sz w:val="24"/>
                <w:szCs w:val="24"/>
              </w:rPr>
            </w:pPr>
          </w:p>
        </w:tc>
        <w:tc>
          <w:tcPr>
            <w:tcW w:w="1530"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体育</w:t>
            </w:r>
          </w:p>
        </w:tc>
        <w:tc>
          <w:tcPr>
            <w:tcW w:w="1425" w:type="dxa"/>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both"/>
            </w:pPr>
            <w:r>
              <w:rPr>
                <w:bdr w:val="none" w:color="auto" w:sz="0" w:space="0"/>
              </w:rPr>
              <w:t>1</w:t>
            </w:r>
          </w:p>
        </w:tc>
        <w:tc>
          <w:tcPr>
            <w:tcW w:w="2115" w:type="dxa"/>
            <w:vMerge w:val="continue"/>
            <w:shd w:val="clear"/>
            <w:tcMar>
              <w:top w:w="0" w:type="dxa"/>
              <w:left w:w="0" w:type="dxa"/>
              <w:bottom w:w="0" w:type="dxa"/>
              <w:right w:w="0" w:type="dxa"/>
            </w:tcMar>
            <w:vAlign w:val="center"/>
          </w:tcPr>
          <w:p>
            <w:pPr>
              <w:rPr>
                <w:rFonts w:hint="eastAsia" w:ascii="宋体"/>
                <w:sz w:val="24"/>
                <w:szCs w:val="24"/>
              </w:rPr>
            </w:pPr>
          </w:p>
        </w:tc>
        <w:tc>
          <w:tcPr>
            <w:tcW w:w="1680" w:type="dxa"/>
            <w:vMerge w:val="continue"/>
            <w:shd w:val="clear"/>
            <w:tcMar>
              <w:top w:w="0" w:type="dxa"/>
              <w:left w:w="0" w:type="dxa"/>
              <w:bottom w:w="0" w:type="dxa"/>
              <w:right w:w="0" w:type="dxa"/>
            </w:tcM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绵阳市安州区教师业绩考核量化办法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为科学评价教师业绩，体</w:t>
      </w:r>
      <w:bookmarkStart w:id="0" w:name="_GoBack"/>
      <w:bookmarkEnd w:id="0"/>
      <w:r>
        <w:rPr>
          <w:rFonts w:hint="eastAsia" w:ascii="微软雅黑" w:hAnsi="微软雅黑" w:eastAsia="微软雅黑" w:cs="微软雅黑"/>
          <w:i w:val="0"/>
          <w:iCs w:val="0"/>
          <w:caps w:val="0"/>
          <w:color w:val="333333"/>
          <w:spacing w:val="0"/>
          <w:sz w:val="24"/>
          <w:szCs w:val="24"/>
          <w:bdr w:val="none" w:color="auto" w:sz="0" w:space="0"/>
          <w:shd w:val="clear" w:fill="FFFFFF"/>
        </w:rPr>
        <w:t>现公开、公平、公正原则，根据区委办、政府办《关于进一步规范教育卫计系统人员调配流动工作的通知》（安委办〔2015〕41号）、《绵阳市安州区科级以下干部职工调配流动办法（试行）》（区委二届74次常委会会议议题材料）、《绵阳市安州区中小学干部教职工队伍管理办法》（绵安教工委发〔2019〕1号）等文件精神，特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一、考核内容及标准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（一）基础分（40分）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近五年年度考核为称职及以上，给25分，其中，每个年度考核优秀另加3分。不满五年的按比例折算成五年年度考核得分。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（二）加分（60分）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该项均以近五年为准，且与教育教学相关。涉及到学科的加分项目，只计算与应聘学科一致的（德育、团队工作属于教育范围的纳入计分范围）。与教育教学无直接关系，但属学校及相关部门工作的，按该项得分一半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1.荣誉称号（20分）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优秀教师、优秀教育工作者、优秀班主任、师德标兵、优秀共产党员、其它先进个人等：乡镇级（党委、政府）1分，县（区）级（党委、政府、县区教育主管部门）3分，市级（市委、市政府、市教育主管部门）5分，省级（省委、省政府、省教育厅）8分，国家级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（2）骨干教师、学科带头人：区级3分，市级5分，省级8分。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2.教育教学质量（25分）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个人教学质量：县（区）级一等奖8分/年，二等奖5分/年，三等奖3分/年；市级一等奖15分/次，二等奖10分/次，三等奖5分/次。教学质量先进个人按同级别二等奖计分。排位计分办法（限2020年及以前）：全县（区）前20%认定为优； 21%-60%认定为良； 61%-100%认定为合格；优按县（区）级二等奖计分，良按县（区）级三等奖计分，合格不计分。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3.教研科研成果（10分）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教育教学论文、优课、课件、教案、微课等获等级奖：区级一等奖1分，二等奖0.5分，三等奖0.2分；市级一等奖2分，二等奖1分，三等奖0.5分；省级一等奖3分，二等奖2分，三等奖1分；国家级一等奖5分，二等奖3分，三等奖2分。该项仅限于教育行政主管部门和业务管理部门认定或授予荣誉称号的。不能直接提供成果证书的，须有主办单位签字盖章的印证材料。赛课获奖按本项给分标准的5倍计分。优秀指导教师、优秀辅导员折半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（2）教育科研课题结题：按该项（1）给分标准的2倍给分；教育科研成果获奖，按该项（1）给分标准的3倍给分。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4.学术和行政任职经历（5分）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（1）学校教研组长：任职每年0.5分。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（2）片区教研组长：任职每年1分。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3）行政任职：年级组长每年0.5分，中层干部每年1分，校级干部每年2分。教研组长、片区教研组长、年级组长及少先队大队辅导员、学校团委书记等非教体局任命的干部，均应出具单位负责人签字并加盖公章的证明。行政加分当年以最高一次计分为准，不得重复加分（教导主任兼职年级组长，则只计算教导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二、计分办法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（一）以上各项均以证件原件为准，并同时提供复印件。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（二）以上各项获奖若无明确等次的，按二等奖给分；若出现优秀奖按三等奖给分，若出现特等奖按一等奖给分。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（三）同一项内容以最高奖项给分，其它不累计计分。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（四）每项累计评分后，最高得分不超过满分时，均以个人实际得分给分；最高得分超过满分时，最高分计作满分，其他与之比较给分。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（五）计分结束后由当事人现场签字确认业绩得分。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（六）业绩考核最后得分按“业绩考核×10%”进行折算。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（七）优秀裁判员、优秀评卷员等属某项具体工作评价的，不作为综合荣誉和教育教学质量计分范围。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（八）需要进一步择优遴选时，可进行综合考核。综合考核包括业绩量化、笔试考核、面试考核，其中，业绩量化占10%（如无笔试考核，业绩考核占20%、面试考核占80%）。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56EA04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2024-07-04T01:32:14Z</dcterms:created>
  <dc:creator>SX-T</dc:creator>
  <cp:lastModifiedBy>SX-T</cp:lastModifiedBy>
  <dcterms:modified xsi:type="dcterms:W3CDTF">2024-07-04T01:33:25Z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7E620B2A24A14E42B8FDD8FFEF875750_12</vt:lpwstr>
  </property>
</Properties>
</file>