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非师范类应聘对象的专业要求</w:t>
      </w:r>
    </w:p>
    <w:tbl>
      <w:tblPr>
        <w:tblW w:w="84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9"/>
        <w:gridCol w:w="689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对应专业及大类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人文教育；中国语言文学类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理学、工学学科门类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理学、工学、农学学科门类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地理科学类、大气科学类、地球物理学类；地理学类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人文教育；政治学类、社会学类、马克思主义理论类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物联网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电子信息类、计算机类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信息技术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教育技术学；电子信息类、计算机类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通用技术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教育技术学；计算机类、机械类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58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心理健康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心理健康教育；心理学类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机电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机械类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C6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2021-09-22T01:19:15Z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F0FA09DBE69049AFAB8CAF77258662BB</vt:lpwstr>
  </property>
</Properties>
</file>