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  <w:shd w:val="clear" w:fill="FFFFFF"/>
        </w:rPr>
        <w:t>2021年县城所在地外学校教师选调岗位需求表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05"/>
        <w:gridCol w:w="773"/>
        <w:gridCol w:w="775"/>
        <w:gridCol w:w="775"/>
        <w:gridCol w:w="872"/>
        <w:gridCol w:w="858"/>
        <w:gridCol w:w="992"/>
        <w:gridCol w:w="963"/>
      </w:tblGrid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5235" w:type="dxa"/>
            <w:gridSpan w:val="6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英语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科学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体育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技术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学前教育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禹越中学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清溪小学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乾元小学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　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雷甸小学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下舍中心学校（小学部）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勾里中心学校（小学部）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干山中心学校（小学部）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洛舍中心学校（小学部）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新市小学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　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徐家庄小学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u w:val="none"/>
                <w:bdr w:val="none" w:color="auto" w:sz="0" w:space="0"/>
              </w:rPr>
              <w:t>高桥小学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筏头小学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45" w:hRule="atLeast"/>
        </w:trPr>
        <w:tc>
          <w:tcPr>
            <w:tcW w:w="19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三合幼儿园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5C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2021-05-14T08:06:33Z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AB85EC1C480C4C9480A53490C14652EE</vt:lpwstr>
  </property>
</Properties>
</file>