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</w:pPr>
      <w:r>
        <w:rPr>
          <w:rFonts w:ascii="方正小标宋简体" w:hAnsi="方正小标宋简体" w:eastAsia="方正小标宋简体" w:cs="方正小标宋简体"/>
          <w:color w:val="000000"/>
          <w:kern w:val="0"/>
          <w:sz w:val="43"/>
          <w:szCs w:val="43"/>
          <w:lang w:val="en-US" w:eastAsia="zh-CN" w:bidi="ar"/>
        </w:rPr>
        <w:t>港南区人才政策汇编</w:t>
      </w:r>
    </w:p>
    <w:p>
      <w:pPr>
        <w:keepNext w:val="0"/>
        <w:keepLines w:val="0"/>
        <w:widowControl/>
        <w:suppressLineNumbers w:val="0"/>
        <w:ind w:firstLine="638" w:firstLineChars="200"/>
        <w:jc w:val="left"/>
      </w:pPr>
      <w:r>
        <w:rPr>
          <w:rFonts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引进人才正式录用后除可以享受国家规定的事业单位工作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人员薪酬待遇外，还可以享受贵港市港南区引进人才的相关待遇： </w:t>
      </w:r>
    </w:p>
    <w:p>
      <w:pPr>
        <w:keepNext w:val="0"/>
        <w:keepLines w:val="0"/>
        <w:widowControl/>
        <w:suppressLineNumbers w:val="0"/>
        <w:ind w:firstLine="638" w:firstLineChars="20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1. 博士研究生或正高级专业技术资格人员，每人提供三房 一厅的住宿，对无法安排住宿的，给予 1500 元/人·月的租房补 贴；如需要在贵港市购房的每人给予购房补贴 30 万元，享受除 正常工资福利待遇外的生活补贴 3500 元/人·月。 </w:t>
      </w:r>
    </w:p>
    <w:p>
      <w:pPr>
        <w:keepNext w:val="0"/>
        <w:keepLines w:val="0"/>
        <w:widowControl/>
        <w:suppressLineNumbers w:val="0"/>
        <w:ind w:firstLine="638" w:firstLineChars="20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2. 符合我区紧缺专业需求的全日制硕士研究生，或者具有 副高级专业技术资格的人员，每人提供两房一厅的住宿，对无法 安排住宿的，给予 1200 元/人·月的租房补贴；如需要在贵港市购房的每人给予购房补贴 10 万元，享受除正常工资福利待遇外 的生活补贴 2000 元/人·月。 </w:t>
      </w:r>
    </w:p>
    <w:p>
      <w:pPr>
        <w:keepNext w:val="0"/>
        <w:keepLines w:val="0"/>
        <w:widowControl/>
        <w:suppressLineNumbers w:val="0"/>
        <w:ind w:firstLine="638" w:firstLineChars="20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3. 符合我区紧缺专业需求的全日制本科生，每人提供一房 一厅或两房一厅（两人共一套）的住宿，对无法安排住宿的，给予 1000 元/人·月的租房补贴；如需要在贵港市购房的每人给予购房补贴 4.5 万元，享受除正常工资福利待遇外的生活补贴 800 元/人·月。 </w:t>
      </w:r>
    </w:p>
    <w:p>
      <w:pPr>
        <w:keepNext w:val="0"/>
        <w:keepLines w:val="0"/>
        <w:widowControl/>
        <w:suppressLineNumbers w:val="0"/>
        <w:ind w:firstLine="638" w:firstLineChars="20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有关人才待遇与国家、自治区、贵港市的政策有重复、交叉 </w:t>
      </w:r>
      <w:bookmarkStart w:id="0" w:name="_GoBack"/>
      <w:bookmarkEnd w:id="0"/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的，按照“从优从高不重复”原则执行。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D800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2020-11-03T09:15:15Z</dcterms:created>
  <dc:creator>Administrator</dc:creator>
  <cp:lastModifiedBy>LQ</cp:lastModifiedBy>
  <dcterms:modified xsi:type="dcterms:W3CDTF">2020-11-03T09:16:08Z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