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left"/>
        <w:rPr>
          <w:rFonts w:hint="eastAsia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default" w:ascii="Verdana" w:hAnsi="Verdana" w:cs="Verdana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附件1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30"/>
          <w:szCs w:val="30"/>
          <w:bdr w:val="none" w:color="auto" w:sz="0" w:space="0"/>
          <w:shd w:val="clear" w:fill="FFFFFF"/>
        </w:rPr>
        <w:t>招聘学科及专业要求</w:t>
      </w:r>
    </w:p>
    <w:tbl>
      <w:tblPr>
        <w:tblW w:w="84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26"/>
        <w:gridCol w:w="66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Style w:val="5"/>
                <w:rFonts w:ascii="Verdana" w:hAnsi="Verdana" w:cs="Verdana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招聘学科</w:t>
            </w:r>
          </w:p>
        </w:tc>
        <w:tc>
          <w:tcPr>
            <w:tcW w:w="66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</w:t>
            </w:r>
            <w:r>
              <w:rPr>
                <w:rStyle w:val="5"/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业</w:t>
            </w:r>
            <w:r>
              <w:rPr>
                <w:rStyle w:val="5"/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要</w:t>
            </w:r>
            <w:r>
              <w:rPr>
                <w:rStyle w:val="5"/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  </w:t>
            </w:r>
            <w:r>
              <w:rPr>
                <w:rFonts w:hint="default" w:ascii="Times New Roman" w:hAnsi="Times New Roman" w:cs="Times New Roman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Style w:val="5"/>
                <w:rFonts w:hint="default" w:ascii="Verdana" w:hAnsi="Verdana" w:cs="Verdana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中小学语文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语文、语文教育、汉语言文学、汉语言文学教育、对外汉语、中国古代文学、中国现当代文学、语言学与应用语言学、汉语言、应用语言学、汉语国际教育、语文课程与教学论、语文学科教学、初等教育（中文）（仅限报考义务段语文）、小学教育（中文）（仅限报考小学语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中小学数学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数学、数学与应用数学、信息与计算科学、数学教育、基础数学、计算数学、应用数学、数学课程与教学论、数学学科教学、初等教育（数学）（仅限报考义务段数学）、小学教育（数学）（仅限报考小学数学）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中小学英语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英语、应用英语、英语教育、英语学科教学论、学科教学（英语）、外国语言学及应用语言学、英语文学、实用英语、初等教育（英语）、小学教育（英语）（仅限报考小学英语）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高中地理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地理、地理科学、人文教育、地理教育、自然地理学、人文地理学、地理学科教学、地理课程与教学论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中学计算机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教育技术学、计算机科学与技术、计算机信息管理、计算机及应用、计算机软件、计算机应用技术、计算机应用与维护、信息技术及微机应用、网络技术与信息处理、计算机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科学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教育、网络工程、计算机网络工程、网络管理、网页设计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初中社会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政治、思想政治教育、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国际政治、政治学、中国政治学   、思想政治、思想政治课程与教学论、思想政治学科教学、</w:t>
            </w: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地理、地理科学、人文教育、地理教育、自然地理学、人文地理学、历史学、历史教育、历史、历史课程与教学论、历史学科教学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中小学科学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科学、科学教育、物理、物理学、应用物理学、物理教学、物理教学论、现代物理概论、化学、应用化学、化学课程与教学论、生物、生物科学、生物技术、生物教学、生物课程与教学论、学科教学（物理、化学、生物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心理辅导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心理学、应用心理学、基础心理学、发展与教育心理学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小学书法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书法学、书法等相关专业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职高电子电工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应用电子技术教育、电子科学与技术、机电一体化、电气技术教育、光电信息科学与工程、电器工程及其自动化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职高汽修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交通运输、汽车维修工程（教育）、车辆工程、汽车检测与维修技术、汽车服务工程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职高旅游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旅游管理、旅游管理与服务（教育）、酒店管理、会展经济与管理、导游、餐饮服务与管理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职高电子商务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网络经济学、电子商务及法律、电子商务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职高外贸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国</w:t>
            </w:r>
            <w:bookmarkStart w:id="0" w:name="_GoBack"/>
            <w:bookmarkEnd w:id="0"/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际经济与贸易、贸易经济、国际商务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学前教育、幼儿教育、幼儿艺术教育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82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1" w:after="0" w:afterAutospacing="1" w:line="495" w:lineRule="atLeast"/>
              <w:ind w:left="0" w:right="0"/>
              <w:jc w:val="center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</w:t>
            </w:r>
          </w:p>
        </w:tc>
        <w:tc>
          <w:tcPr>
            <w:tcW w:w="665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255" w:lineRule="atLeast"/>
              <w:ind w:left="0" w:right="0"/>
            </w:pPr>
            <w:r>
              <w:rPr>
                <w:rFonts w:hint="default" w:ascii="Verdana" w:hAnsi="Verdana" w:cs="Verdana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特殊教育、初等教育（特殊教育方向）、小学教育（特殊教育方向）、儿童康复（残疾儿童教育方向）、运动康复与健康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default" w:ascii="Verdana" w:hAnsi="Verdana" w:cs="Verdana"/>
          <w:b w:val="0"/>
          <w:i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说明：应聘者按已经明确的专业要求报考；未明确的专业原则上不能报考。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153C62"/>
    <w:rsid w:val="6A15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2017-11-09T01:00:00Z</dcterms:created>
  <dc:creator>水无鱼</dc:creator>
  <cp:lastModifiedBy>水无鱼</cp:lastModifiedBy>
  <dcterms:modified xsi:type="dcterms:W3CDTF">2017-11-09T01:07:35Z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