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08" w:type="dxa"/>
        <w:tblInd w:w="0" w:type="dxa"/>
        <w:shd w:val="clear" w:color="auto" w:fill="22222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290"/>
        <w:gridCol w:w="1800"/>
        <w:gridCol w:w="730"/>
        <w:gridCol w:w="676"/>
        <w:gridCol w:w="890"/>
        <w:gridCol w:w="1484"/>
        <w:gridCol w:w="2722"/>
        <w:gridCol w:w="306"/>
      </w:tblGrid>
      <w:tr>
        <w:tblPrEx>
          <w:shd w:val="clear" w:color="auto" w:fill="22222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102" w:type="dxa"/>
            <w:gridSpan w:val="8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双峰县教育系统2017年公开招聘教师计划及岗位表</w:t>
            </w:r>
            <w:bookmarkEnd w:id="0"/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7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9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最高年龄要求</w:t>
            </w:r>
          </w:p>
        </w:tc>
        <w:tc>
          <w:tcPr>
            <w:tcW w:w="148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72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双峰一中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图书管理员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专业要求：图书馆学、档案学、信息资源管理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双峰二中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双峰三中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双峰四中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双峰五中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双峰七中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双峰七中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双峰八中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１、具有普通高中及以上教师资格证；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２、所学专业或教师资格证任教学科与报考岗位相符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双峰县机关幼儿园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具有幼儿教师及以上教师资格证；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专业要求：学前教育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双峰县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职业中专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双峰县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职业中专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1、具有普通高中（中专）及以上教师资格证；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2、所学专业或教师资格证任教学科与报考岗位相符。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1、专业要求：市场营销、市场营销教育、物流管理；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2、须在聘后试用期内获取中专教师资格证，否则取消聘用资格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1、专业要求：行政管理、公共事业管理；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2、须在聘后试用期内获取中专教师资格证，否则取消聘用资格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1、专业要求：教育技术学、计算机科学与技术、电子信息科学与技术；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2、须在聘后试用期内获取中专教师资格证，否则取消聘用资格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装潢设计与工艺教育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1、专业要求：装潢设计与工艺教育、视觉传达设计、艺术设计学、工艺美术、数字媒体艺术；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2、须在聘后试用期内获取中专教师资格证，否则取消聘用资格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1、专业要求：电子商务、电子商务及法律；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2、须在聘后试用期内获取中专教师资格证，否则取消聘用资格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机电技术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1、专业要求：机电技术教育、机械设计制造及其自动化、机械工程；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2、须在聘后试用期内获取中专教师资格证，否则取消聘用资格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（实习指导）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1、专业要求：汽车运用与维修技术（汽车运用技术）、新能源汽车运用与维修、汽车制造与装配技术、汽车检测与维修技术、汽车维修工程教育；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20" w:afterAutospacing="0" w:line="390" w:lineRule="atLeast"/>
              <w:ind w:left="0" w:right="0" w:firstLine="0"/>
              <w:rPr>
                <w:rFonts w:hint="default" w:ascii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</w:rPr>
              <w:t>2、须在聘后试用期内获取中专实习指导教师资格证，否则取消聘用资格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102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注： 30岁为1987年4月以后出生；35岁为1982年4月以后出生，均以二代居民身份证为准。</w:t>
            </w:r>
          </w:p>
        </w:tc>
        <w:tc>
          <w:tcPr>
            <w:tcW w:w="306" w:type="dxa"/>
            <w:shd w:val="clear" w:color="auto" w:fill="222222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E4796"/>
    <w:rsid w:val="5BBE47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2017-04-22T08:36:00Z</dcterms:created>
  <dc:creator>Administrator</dc:creator>
  <cp:lastModifiedBy>Administrator</cp:lastModifiedBy>
  <dcterms:modified xsi:type="dcterms:W3CDTF">2017-04-22T12:29:02Z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