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2023年度滁州市城乡建设规划设计院有限公司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公开招聘专业技术岗位计划表</w:t>
      </w:r>
    </w:p>
    <w:tbl>
      <w:tblPr>
        <w:tblW w:w="975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669"/>
        <w:gridCol w:w="1073"/>
        <w:gridCol w:w="1987"/>
        <w:gridCol w:w="2451"/>
        <w:gridCol w:w="27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部门</w:t>
            </w:r>
          </w:p>
        </w:tc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人数</w:t>
            </w:r>
          </w:p>
        </w:tc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岗位</w:t>
            </w:r>
          </w:p>
        </w:tc>
        <w:tc>
          <w:tcPr>
            <w:tcW w:w="0" w:type="auto"/>
            <w:gridSpan w:val="3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应聘人员所需资格条件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专业及代码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学历、学位、工作经历要求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规划设计一所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土地规划设计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土地资源管理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2023001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硕士研究生及以上学历学位；或者具有该专业工程师及以上职称，并具有全日制本科学历和学士学位。</w:t>
            </w:r>
          </w:p>
        </w:tc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30周岁以下。具有招聘专业博士研究生学历学位或具有招聘专业高级技术职称的，年龄可放宽到35周岁以下。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城乡规划设计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城乡规划2023002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硕士研究生及以上学历学位。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城市设计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建筑学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2023003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全日制本科学历、学士学位及以上。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规划设计二所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土地规划设计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土地资源管理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2023001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硕士研究生及以上学历学位；或者具有该专业工程师及以上职称，并具有全日制本科学历和学士学位。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城乡规划设计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城乡规划2023002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硕士研究生及以上学历学位。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建筑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设计所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建筑工程建筑设计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建筑学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2023003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全日制本科、学士学位及以上。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建筑工程结构设计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结构工程或土木工程（结构工程）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2023004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硕士研究生及以上学历学位。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建筑工程给水排水设计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给水排水科学与工程2023005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全日制本科学历、学士学位及以上。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办公室（财务部）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 w:firstLine="420"/>
              <w:jc w:val="center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公司财务部会计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会计学或财务管理2023006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right="0"/>
              <w:jc w:val="both"/>
              <w:rPr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全日制本科学历、学士学位及以上和具有助理会计师及以上职称。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left w:w="45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E41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2023-02-25T06:39:13Z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7CC53DDBA0D941749A713029765BF224</vt:lpwstr>
  </property>
</Properties>
</file>