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仿宋_GB2312" w:eastAsia="仿宋_GB2312" w:cs="仿宋_GB2312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00"/>
        </w:rPr>
        <w:t>2017</w:t>
      </w:r>
      <w:bookmarkStart w:id="0" w:name="_GoBack"/>
      <w:bookmarkEnd w:id="0"/>
      <w:r>
        <w:rPr>
          <w:rFonts w:ascii="仿宋_GB2312" w:hAnsi="仿宋_GB2312" w:eastAsia="仿宋_GB2312" w:cs="仿宋_GB2312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00"/>
        </w:rPr>
        <w:t>年三明学院公开招聘博士岗位信息</w:t>
      </w:r>
      <w:r>
        <w:rPr>
          <w:rFonts w:hint="default" w:ascii="仿宋_GB2312" w:hAnsi="仿宋_GB2312" w:eastAsia="仿宋_GB2312" w:cs="仿宋_GB2312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00"/>
        </w:rPr>
        <w:t>表</w:t>
      </w:r>
    </w:p>
    <w:tbl>
      <w:tblPr>
        <w:tblW w:w="9258" w:type="dxa"/>
        <w:tblInd w:w="-1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663"/>
        <w:gridCol w:w="540"/>
        <w:gridCol w:w="3015"/>
        <w:gridCol w:w="835"/>
        <w:gridCol w:w="507"/>
        <w:gridCol w:w="3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66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54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7362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9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  业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全日制普通教育学历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管理学院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工商管理类、管理科学与工程类、经济学类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计算机科学与技术类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电子商务或研究生为电子商务方向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69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艺术设计（鞋服）学院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设计学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服装设计与工程、纺织工程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艺术设计类或服装设计方向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风景园林学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本科专业为艺术设计类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信息工程学院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计算机科学与技术、软件工程、信息与通信工程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检测技术与自动化装置、模式识别与智能系统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统计学（理学）、运筹学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机电工程学院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检测技术与自动化装置、机械工程类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69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资源与化工学院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化学工程与技术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材料学、化学类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材料化学方向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环境工程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制药工程、生物制药、发酵工程、生物工程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建筑工程学院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岩土工程（隧道工程方向）、风景园林学、结构工程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建筑与土木工程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工程管理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工程造价方向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69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海峡动漫学院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艺术学、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计算机科学与技术类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动画方向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设计学、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计算机科学与技术类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游戏软件或游戏开发方向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设计学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木材加工技术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藤竹加工工艺方向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设计学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产品造型设计方向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计算机科学与技术类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程序设计方向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69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计算机科学与技术类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电子商务或图形图像方向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8940" w:type="dxa"/>
        <w:tblInd w:w="-1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1"/>
        <w:gridCol w:w="642"/>
        <w:gridCol w:w="533"/>
        <w:gridCol w:w="2913"/>
        <w:gridCol w:w="809"/>
        <w:gridCol w:w="483"/>
        <w:gridCol w:w="28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67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64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53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招聘人数</w:t>
            </w:r>
          </w:p>
        </w:tc>
        <w:tc>
          <w:tcPr>
            <w:tcW w:w="7094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7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  业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全日制普通教育学历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外国语学院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商务英语方向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6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体育学院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体育学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71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教育与音乐学院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学前教育学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学前教育学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7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教育学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71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音乐学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钢琴方向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6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旅游（经济）学院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经济学、人文地理学（旅游与酒店管理方向）、旅游管理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马克思主义学院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专任教师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中国哲学、中共党史、马克思主义基本原理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学报编辑部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教辅人员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理工类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6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图书馆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教辅人员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理工类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现代教育技术中心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教辅人员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计算机科学与技术类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博士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6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29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注：常年招聘，首批报名时间截止至2017年4月20日。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default" w:ascii="Times New Roman" w:hAnsi="Times New Roman" w:eastAsia="宋体" w:cs="Times New Roman"/>
          <w:b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00"/>
        </w:rPr>
        <w:t>三明学院高层次人才引进政策一览表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8960" w:type="dxa"/>
        <w:tblInd w:w="-1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1118"/>
        <w:gridCol w:w="1111"/>
        <w:gridCol w:w="936"/>
        <w:gridCol w:w="736"/>
        <w:gridCol w:w="1541"/>
        <w:gridCol w:w="940"/>
        <w:gridCol w:w="14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110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7859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   才  政  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11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82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    校</w:t>
            </w:r>
          </w:p>
        </w:tc>
        <w:tc>
          <w:tcPr>
            <w:tcW w:w="14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省   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0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科研启动费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万元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购房安家补贴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万元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9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职称政策</w:t>
            </w:r>
          </w:p>
        </w:tc>
        <w:tc>
          <w:tcPr>
            <w:tcW w:w="7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年收入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万元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5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家属政策</w:t>
            </w:r>
          </w:p>
        </w:tc>
        <w:tc>
          <w:tcPr>
            <w:tcW w:w="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住房政策</w:t>
            </w:r>
          </w:p>
        </w:tc>
        <w:tc>
          <w:tcPr>
            <w:tcW w:w="14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资助政策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领军人才一类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文科类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30-60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理工类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100-200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100-120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聘教授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105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＞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5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符合条件配偶或子女随调；配备助手等科研条件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315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1．提供校内过渡房；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315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2．提供学校限价房。</w:t>
            </w:r>
          </w:p>
        </w:tc>
        <w:tc>
          <w:tcPr>
            <w:tcW w:w="147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1．省资助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4.8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万；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315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2．市资助教授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2400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年、博士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3600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315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3．市优秀人才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4800-7200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/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315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4．享受省市人才奖励、科研奖励、住房、人才公寓、干部保健等政策。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11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领军人才二类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文科类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15-30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理工类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40-80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60-80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聘教授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105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＞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5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7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学科带头人类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（博士学位教授或副教授）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文科类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理工类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50-53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聘教授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105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＞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5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符合条件配偶随调或安置（调入条件：配偶原则上应属于行政或事业单位；安置条件：配偶原则上应具有全日制本科及以上学历）</w:t>
            </w: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7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学术骨干一类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（教授或博士学位副教授）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文科类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理工类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40-43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聘教授或副教授</w:t>
            </w:r>
          </w:p>
        </w:tc>
        <w:tc>
          <w:tcPr>
            <w:tcW w:w="7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105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＞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5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7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学术骨干二类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（紧缺专业或优秀博士）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文科类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理工类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33-36</w:t>
            </w: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聘副教授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（先聘后评、聘期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7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1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学术骨干三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（博士）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文科类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理工类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23-26</w:t>
            </w:r>
          </w:p>
        </w:tc>
        <w:tc>
          <w:tcPr>
            <w:tcW w:w="9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7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1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高技能人才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文科类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理工类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7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11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特殊人才</w:t>
            </w:r>
          </w:p>
        </w:tc>
        <w:tc>
          <w:tcPr>
            <w:tcW w:w="6382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特别优秀的高层次人才、实行“一人一策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”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注：详见三明学院人事处网站（http://218.5.241.22:8085/）《三明学院高层次人才引进与管理办法（试行）》及其补充规定。</w:t>
      </w:r>
    </w:p>
    <w:p>
      <w:pP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7D6933"/>
    <w:rsid w:val="693737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qFormat/>
    <w:uiPriority w:val="0"/>
    <w:rPr>
      <w:color w:val="003399"/>
      <w:u w:val="none"/>
    </w:rPr>
  </w:style>
  <w:style w:type="character" w:styleId="7">
    <w:name w:val="Emphasis"/>
    <w:basedOn w:val="4"/>
    <w:qFormat/>
    <w:uiPriority w:val="0"/>
    <w:rPr>
      <w:i/>
      <w:bdr w:val="none" w:color="auto" w:sz="0" w:space="0"/>
    </w:rPr>
  </w:style>
  <w:style w:type="character" w:styleId="8">
    <w:name w:val="Hyperlink"/>
    <w:basedOn w:val="4"/>
    <w:qFormat/>
    <w:uiPriority w:val="0"/>
    <w:rPr>
      <w:color w:val="003399"/>
      <w:u w:val="none"/>
    </w:rPr>
  </w:style>
  <w:style w:type="character" w:styleId="9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0">
    <w:name w:val="HTML Cite"/>
    <w:basedOn w:val="4"/>
    <w:uiPriority w:val="0"/>
    <w:rPr>
      <w:i/>
      <w:bdr w:val="none" w:color="auto" w:sz="0" w:space="0"/>
    </w:rPr>
  </w:style>
  <w:style w:type="character" w:customStyle="1" w:styleId="12">
    <w:name w:val="bds_nopic"/>
    <w:basedOn w:val="4"/>
    <w:uiPriority w:val="0"/>
  </w:style>
  <w:style w:type="character" w:customStyle="1" w:styleId="13">
    <w:name w:val="bds_more"/>
    <w:basedOn w:val="4"/>
    <w:qFormat/>
    <w:uiPriority w:val="0"/>
    <w:rPr>
      <w:rFonts w:hint="eastAsia" w:ascii="宋体" w:hAnsi="宋体" w:eastAsia="宋体" w:cs="宋体"/>
    </w:rPr>
  </w:style>
  <w:style w:type="character" w:customStyle="1" w:styleId="14">
    <w:name w:val="bds_more1"/>
    <w:basedOn w:val="4"/>
    <w:qFormat/>
    <w:uiPriority w:val="0"/>
  </w:style>
  <w:style w:type="character" w:customStyle="1" w:styleId="15">
    <w:name w:val="bds_more2"/>
    <w:basedOn w:val="4"/>
    <w:uiPriority w:val="0"/>
  </w:style>
  <w:style w:type="character" w:customStyle="1" w:styleId="16">
    <w:name w:val="bds_nopic1"/>
    <w:basedOn w:val="4"/>
    <w:qFormat/>
    <w:uiPriority w:val="0"/>
  </w:style>
  <w:style w:type="character" w:customStyle="1" w:styleId="17">
    <w:name w:val="bds_nopic2"/>
    <w:basedOn w:val="4"/>
    <w:qFormat/>
    <w:uiPriority w:val="0"/>
  </w:style>
  <w:style w:type="character" w:customStyle="1" w:styleId="18">
    <w:name w:val="bds_more3"/>
    <w:basedOn w:val="4"/>
    <w:qFormat/>
    <w:uiPriority w:val="0"/>
  </w:style>
  <w:style w:type="character" w:customStyle="1" w:styleId="19">
    <w:name w:val="bds_more4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2017-04-10T13:49:38Z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